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382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64214E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64214E">
        <w:rPr>
          <w:rFonts w:ascii="Times New Roman" w:hAnsi="Times New Roman"/>
          <w:b/>
          <w:color w:val="000000"/>
        </w:rPr>
        <w:t>Очистка сырьевого резервуара №11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3216F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3216F">
        <w:rPr>
          <w:rFonts w:ascii="Times New Roman" w:hAnsi="Times New Roman"/>
          <w:color w:val="000000"/>
          <w:lang w:eastAsia="en-US"/>
        </w:rPr>
        <w:t>26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33216F">
        <w:rPr>
          <w:rFonts w:ascii="Times New Roman" w:hAnsi="Times New Roman"/>
          <w:color w:val="000000"/>
          <w:lang w:eastAsia="en-US"/>
        </w:rPr>
        <w:t>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3216F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3216F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3216F">
        <w:rPr>
          <w:rFonts w:ascii="Times New Roman" w:hAnsi="Times New Roman"/>
          <w:color w:val="000000"/>
          <w:lang w:eastAsia="en-US"/>
        </w:rPr>
        <w:t>06</w:t>
      </w:r>
      <w:r w:rsidR="00E23822">
        <w:rPr>
          <w:rFonts w:ascii="Times New Roman" w:hAnsi="Times New Roman"/>
          <w:color w:val="000000"/>
          <w:lang w:eastAsia="en-US"/>
        </w:rPr>
        <w:t>.0</w:t>
      </w:r>
      <w:r w:rsidR="0033216F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8477B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3216F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3216F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3216F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3822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5BA768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483A-AD17-4EA3-8678-483D805A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2023-03-20T04:41:00Z</dcterms:created>
  <dcterms:modified xsi:type="dcterms:W3CDTF">2023-05-15T05:05:00Z</dcterms:modified>
</cp:coreProperties>
</file>